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AA" w:rsidRDefault="00F15869" w:rsidP="00351C2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>Kodeks</w:t>
      </w:r>
      <w:proofErr w:type="spellEnd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>etyczny</w:t>
      </w:r>
      <w:proofErr w:type="spellEnd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>czasopisma</w:t>
      </w:r>
      <w:proofErr w:type="spellEnd"/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15869" w:rsidRPr="00F15869" w:rsidRDefault="00F15869" w:rsidP="00351C2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5869">
        <w:rPr>
          <w:rFonts w:ascii="Times New Roman" w:hAnsi="Times New Roman" w:cs="Times New Roman"/>
          <w:b/>
          <w:sz w:val="32"/>
          <w:szCs w:val="32"/>
          <w:lang w:val="en-US"/>
        </w:rPr>
        <w:t>„Progress in Economic Sciences”</w:t>
      </w:r>
    </w:p>
    <w:p w:rsidR="00F15869" w:rsidRDefault="00F15869" w:rsidP="00E058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795" w:rsidRPr="007B72AA" w:rsidRDefault="007B4795" w:rsidP="007B72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72AA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="007B72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7B72AA">
        <w:rPr>
          <w:rFonts w:ascii="Times New Roman" w:hAnsi="Times New Roman" w:cs="Times New Roman"/>
          <w:b/>
          <w:sz w:val="24"/>
          <w:szCs w:val="24"/>
          <w:lang w:val="en-US"/>
        </w:rPr>
        <w:t>autorzy</w:t>
      </w:r>
      <w:proofErr w:type="spellEnd"/>
      <w:r w:rsidR="007B72A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97AE1" w:rsidRDefault="00E97AE1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zgłoszony do publikacji posiada odpowiadający treści tytuł i streszczenie oraz należy do jednej z trzech kategorii: artykuł badawczy, doniesienia naukowe lub artykuł przeglądowy. We wstępie autor (autorzy) powinni określić przedmiot badań.</w:t>
      </w:r>
      <w:r w:rsidR="00C23C85">
        <w:rPr>
          <w:rFonts w:ascii="Times New Roman" w:hAnsi="Times New Roman" w:cs="Times New Roman"/>
          <w:sz w:val="24"/>
          <w:szCs w:val="24"/>
        </w:rPr>
        <w:t xml:space="preserve"> Streszczenie artykułu posiada objętość nie większą niż 200-250 słów, jest jednolitym tekstem bez podtytułów.</w:t>
      </w:r>
    </w:p>
    <w:p w:rsidR="007B4795" w:rsidRDefault="00CC62D4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(autorzy) są zobowią</w:t>
      </w:r>
      <w:r w:rsidR="007B47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4795">
        <w:rPr>
          <w:rFonts w:ascii="Times New Roman" w:hAnsi="Times New Roman" w:cs="Times New Roman"/>
          <w:sz w:val="24"/>
          <w:szCs w:val="24"/>
        </w:rPr>
        <w:t>ni do wska</w:t>
      </w:r>
      <w:r>
        <w:rPr>
          <w:rFonts w:ascii="Times New Roman" w:hAnsi="Times New Roman" w:cs="Times New Roman"/>
          <w:sz w:val="24"/>
          <w:szCs w:val="24"/>
        </w:rPr>
        <w:t>z</w:t>
      </w:r>
      <w:r w:rsidR="007B47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B4795">
        <w:rPr>
          <w:rFonts w:ascii="Times New Roman" w:hAnsi="Times New Roman" w:cs="Times New Roman"/>
          <w:sz w:val="24"/>
          <w:szCs w:val="24"/>
        </w:rPr>
        <w:t>ia źródeł finansowania badań omawianych w artykule oraz oświadczenia w przypadku współautorstwa o stopniu zaangażowania współautorów w przygotowywaniu zgłaszanego tekstu naukowego. Nie dopuszczalne jest zgłaszanie artykułów o większej liczbie autorów niż 5 oraz wykazywanie osób, które nie uczestniczyły w</w:t>
      </w:r>
      <w:r>
        <w:rPr>
          <w:rFonts w:ascii="Times New Roman" w:hAnsi="Times New Roman" w:cs="Times New Roman"/>
          <w:sz w:val="24"/>
          <w:szCs w:val="24"/>
        </w:rPr>
        <w:t xml:space="preserve"> przygotowaniu zgłaszanego tekst</w:t>
      </w:r>
      <w:r w:rsidR="00F63DFF">
        <w:rPr>
          <w:rFonts w:ascii="Times New Roman" w:hAnsi="Times New Roman" w:cs="Times New Roman"/>
          <w:sz w:val="24"/>
          <w:szCs w:val="24"/>
        </w:rPr>
        <w:t>u naukowego. Autorstwo artykułu nie obejmuje zmian stylistycznych a merytoryczne. W zgłaszanym tekście nie pominięto żadnego z autorów.</w:t>
      </w:r>
      <w:r w:rsidR="002410C2">
        <w:rPr>
          <w:rFonts w:ascii="Times New Roman" w:hAnsi="Times New Roman" w:cs="Times New Roman"/>
          <w:sz w:val="24"/>
          <w:szCs w:val="24"/>
        </w:rPr>
        <w:t xml:space="preserve"> W podziękowaniach autor wymienia wszystkie osoby, które miały wkład w badania (za ich zgodą), a które nie zostały uznane za współautorów.</w:t>
      </w:r>
    </w:p>
    <w:p w:rsidR="001F7315" w:rsidRDefault="001F7315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</w:t>
      </w:r>
      <w:r w:rsidR="007B72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jest zobowiązany do podanie wszelkich informacji związanych z konfliktem interesów.</w:t>
      </w:r>
    </w:p>
    <w:p w:rsidR="002410C2" w:rsidRDefault="002410C2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cudzych prac dopuszczalne jest tylko w poszanowaniu zasad prawa autorskiego.</w:t>
      </w:r>
    </w:p>
    <w:p w:rsidR="00EF72C8" w:rsidRDefault="00EF72C8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na których artykuł został oparty zostały zgromadzone w sposób rzetelny a autorzy zobowiązują się do przechowywania i udostępniania danych źródłowych stosowanych w artykule przez okres </w:t>
      </w:r>
      <w:r w:rsidR="00930C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lat od opublikowania artykułu.</w:t>
      </w:r>
    </w:p>
    <w:p w:rsidR="00E97AE1" w:rsidRDefault="00E97AE1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zgłasza do publikacji tekst oryginalny, wcześniej nie publikowany a w trakcie procesu redakcyjnego nie może być przekazany do publikowania w innym czasopiśmie.</w:t>
      </w:r>
    </w:p>
    <w:p w:rsidR="00E97AE1" w:rsidRDefault="00E97AE1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nie stosują argumentów poddających krytyce inne prace oraz przestrzegają zas</w:t>
      </w:r>
      <w:r w:rsidR="00D34E01">
        <w:rPr>
          <w:rFonts w:ascii="Times New Roman" w:hAnsi="Times New Roman" w:cs="Times New Roman"/>
          <w:sz w:val="24"/>
          <w:szCs w:val="24"/>
        </w:rPr>
        <w:t>ad określonych przez czasopismo w tym dotyczących struktury tekstu oraz tworzenia bibliografii.</w:t>
      </w:r>
    </w:p>
    <w:p w:rsidR="005F48A7" w:rsidRDefault="005F48A7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zgłaszany do publikacji powinien być </w:t>
      </w:r>
      <w:r w:rsidR="00C23C85">
        <w:rPr>
          <w:rFonts w:ascii="Times New Roman" w:hAnsi="Times New Roman" w:cs="Times New Roman"/>
          <w:sz w:val="24"/>
          <w:szCs w:val="24"/>
        </w:rPr>
        <w:t>przygotowany</w:t>
      </w:r>
      <w:r>
        <w:rPr>
          <w:rFonts w:ascii="Times New Roman" w:hAnsi="Times New Roman" w:cs="Times New Roman"/>
          <w:sz w:val="24"/>
          <w:szCs w:val="24"/>
        </w:rPr>
        <w:t xml:space="preserve"> w sposób zrozumiały, powinno unikać się terminów rzadko używanych, zawiera wszystkie dane umożliwiające zrozumienie tekstu oraz informacje o wszelkich ograniczeniach związanych z własnością przemysłową. Ponadto autorzy unikają powoływania się na prace o ograniczonym zasięgu.</w:t>
      </w:r>
    </w:p>
    <w:p w:rsidR="001D0B06" w:rsidRDefault="001D0B06" w:rsidP="00C2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zgłaszane do publikacji są poddawane sprawdzaniu systemami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antyplagiatowymi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B06" w:rsidRDefault="001D0B06" w:rsidP="00C2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podejrzenia autora (autorów) o nierzetelność w zgłaszanym tekście w pierwszej kolejności o wyjaśnienia zostanie poproszony autor (autorzy). Działanie takie ma na celu stwierdzenie czy zarzut nierzetelności jest uprawniony.</w:t>
      </w:r>
    </w:p>
    <w:p w:rsidR="00C23C85" w:rsidRDefault="00C23C85" w:rsidP="00C2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wykrycia nierzetelności w postępowaniu autora, w szczególności plagiatu, opublikowany artykuł zostanie usunięty z wersji elektronicznej czasopisma a na jego miejscu zostanie opublikowana szczegółowa informacja o rodzaju nierzetelności.</w:t>
      </w:r>
      <w:r w:rsidR="00D15A2D">
        <w:rPr>
          <w:rFonts w:ascii="Times New Roman" w:hAnsi="Times New Roman" w:cs="Times New Roman"/>
          <w:sz w:val="24"/>
          <w:szCs w:val="24"/>
        </w:rPr>
        <w:t xml:space="preserve"> Ponadto przewiduje się skierowania sprawy na drogę przewidzianą w takich przypadkach przez prawo.</w:t>
      </w:r>
    </w:p>
    <w:p w:rsidR="00F63DFF" w:rsidRDefault="00F63DFF" w:rsidP="00C23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przejawy działań określanych terminami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>
        <w:rPr>
          <w:rFonts w:ascii="Times New Roman" w:hAnsi="Times New Roman" w:cs="Times New Roman"/>
          <w:sz w:val="24"/>
          <w:szCs w:val="24"/>
        </w:rPr>
        <w:t>” są traktowane przez redakcję jako przejaw nierzetelności naukowej, w związku z tym wykryte przypadki takich działań będą wiązały się z ich ujawnieniem oraz powiadomieniem odpowiednich organów.</w:t>
      </w:r>
    </w:p>
    <w:p w:rsidR="007B4795" w:rsidRPr="007B72AA" w:rsidRDefault="007B4795" w:rsidP="007B72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B72AA">
        <w:rPr>
          <w:rFonts w:ascii="Times New Roman" w:hAnsi="Times New Roman" w:cs="Times New Roman"/>
          <w:b/>
          <w:sz w:val="24"/>
          <w:szCs w:val="24"/>
          <w:lang w:val="en-US"/>
        </w:rPr>
        <w:t>Recenzenci</w:t>
      </w:r>
      <w:proofErr w:type="spellEnd"/>
    </w:p>
    <w:p w:rsidR="00E836AC" w:rsidRDefault="00E836AC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jest zobowiązany każdorazowo, przed podjęciem się procesu recenzowania do zapoznania się z aktualną polityką czasopisma.</w:t>
      </w:r>
    </w:p>
    <w:p w:rsidR="00E836AC" w:rsidRDefault="00E836AC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podejmuje się oceny tekstów, do oceny których posiada wiedzę, kompetencje oraz doświadczenie. Ponadto zobowiązuje się do nie przyjmowania do recenzji artykułów opartych o badania podobne do tych, które aktualnie są przedmiotem jego zainteresowań badawczych.</w:t>
      </w:r>
    </w:p>
    <w:p w:rsidR="007B4795" w:rsidRDefault="007B4795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Recenzenci</w:t>
      </w:r>
      <w:r w:rsidRPr="007B4795">
        <w:rPr>
          <w:rFonts w:ascii="Times New Roman" w:hAnsi="Times New Roman" w:cs="Times New Roman"/>
          <w:sz w:val="24"/>
          <w:szCs w:val="24"/>
        </w:rPr>
        <w:t xml:space="preserve"> oświadczają, że nie jest im znana tożsamość </w:t>
      </w:r>
      <w:r>
        <w:rPr>
          <w:rFonts w:ascii="Times New Roman" w:hAnsi="Times New Roman" w:cs="Times New Roman"/>
          <w:sz w:val="24"/>
          <w:szCs w:val="24"/>
        </w:rPr>
        <w:t>autora artykułu. Jeżeli pomimo otrzymania do recenzji artykułu nie pozwalającego na jednoznaczne stwierdz</w:t>
      </w:r>
      <w:r w:rsidR="00CC62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autorstwa artykułu recenzent potrafi rozpoznać autora artykułu jest zobowiązany do zgłoszenia tego faktu redaktorowi naczelnemu czasopisma, w takim przypadku artykuł zostanie skierowany do innego recenzenta.</w:t>
      </w:r>
    </w:p>
    <w:p w:rsidR="005D468F" w:rsidRDefault="005D468F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Recenzja jest przygotowana w sposób czytelny, merytoryczny i obiektywny oraz zakończona jest jednoznaczną rekomendacją.</w:t>
      </w:r>
    </w:p>
    <w:p w:rsidR="000A3B21" w:rsidRDefault="000A3B21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zobowiązuje się do nie wykorzystywania powierzonych mi do recenzji tekstów. Zobowiązuje się do przygotowania recenzji w wyznaczonym terminie oraz do informowania redakcji o opóźnieniach występujących w procesie recenzowania</w:t>
      </w:r>
      <w:r w:rsidR="00B059FB">
        <w:rPr>
          <w:rFonts w:ascii="Times New Roman" w:hAnsi="Times New Roman" w:cs="Times New Roman"/>
          <w:sz w:val="24"/>
          <w:szCs w:val="24"/>
        </w:rPr>
        <w:t>.</w:t>
      </w:r>
    </w:p>
    <w:p w:rsidR="00B059FB" w:rsidRPr="007B4795" w:rsidRDefault="00B059FB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dopuszczalne jest kontaktowanie się recenzenta z autorami artykułów bez pośrednictwa redakcji.</w:t>
      </w:r>
    </w:p>
    <w:p w:rsidR="007B4795" w:rsidRPr="007B72AA" w:rsidRDefault="007B4795" w:rsidP="007B72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2AA">
        <w:rPr>
          <w:rFonts w:ascii="Times New Roman" w:hAnsi="Times New Roman" w:cs="Times New Roman"/>
          <w:b/>
          <w:sz w:val="24"/>
          <w:szCs w:val="24"/>
          <w:lang w:val="en-US"/>
        </w:rPr>
        <w:t>Redaktorzy</w:t>
      </w:r>
    </w:p>
    <w:p w:rsidR="007B4795" w:rsidRDefault="001974FB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Redaktor naczelny czasopisma sprawdza zwięzłość i informatywność tytułu, abstraktu oraz tekstu artykułu. W tekstach zgłoszonych do publikacji szczególną uwagę zwraca się na stosowanie konwencjonalnych symboli, skrótów, ujednoliconego opisu bibliograficznego. Ponadto redaktor sprawdza czy autor artykułu określił jego typ.</w:t>
      </w:r>
    </w:p>
    <w:p w:rsidR="00D15A2D" w:rsidRDefault="00D15A2D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Redaktorzy nie będą blokować negatywnych wyników badań pod warunkiem przygotowania artykułu z takimi badaniami w sposób określony przez redakcję dla wszystkich publikowanych artykułów.</w:t>
      </w:r>
      <w:r w:rsidR="007E36B7">
        <w:rPr>
          <w:rFonts w:ascii="Times New Roman" w:hAnsi="Times New Roman" w:cs="Times New Roman"/>
          <w:sz w:val="24"/>
          <w:szCs w:val="24"/>
        </w:rPr>
        <w:t xml:space="preserve"> W przypadku artykułów krytycznych dopuszcza się publikowanie merytorycznej polemiki na temat zamieszczonego artykułu.</w:t>
      </w:r>
    </w:p>
    <w:p w:rsidR="007B4795" w:rsidRDefault="007B4795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Redaktorzy czasopisma zobowiązani są do ujawnienia w formie pisemnej wszelkich powiązań z autorami zgłoszonych do publikacji artykułów. W przypadku zgłoszenia takich powiązań, redaktorzy nie uczestniczą w procesie redakcyjnym autorów w jakimkolwiek stopniu powiązanych z redaktorami czasopisma. W szczególności należy zwrócić uwagę na powiązania rodzinne, służbowe oraz towarzyskie.</w:t>
      </w:r>
    </w:p>
    <w:p w:rsidR="00930C51" w:rsidRDefault="00930C51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 redaktorzy czasopisma zapoznawani są z zasadami etyczny</w:t>
      </w:r>
      <w:r w:rsidR="008F0CC2">
        <w:rPr>
          <w:rFonts w:ascii="Times New Roman" w:hAnsi="Times New Roman" w:cs="Times New Roman"/>
          <w:sz w:val="24"/>
          <w:szCs w:val="24"/>
        </w:rPr>
        <w:t>mi obowiązującymi w czasopiśmie, w szczególności z zasadami postępowania w przypadku wykrycia działań nieetycznych.</w:t>
      </w:r>
    </w:p>
    <w:p w:rsidR="008F0CC2" w:rsidRDefault="008F0CC2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Redaktor zapewnia właściwy dobór recenzentów do oceny tekstów naukowych oraz dokłada wszelkiej staranności do zapewnienia prawidłowego przebiegu procesu recenzowania. W szczególności zwraca się uwagę na to czy recenzja jest przygotowania terminowo oraz merytorycznie</w:t>
      </w:r>
      <w:r w:rsidR="007E36B7">
        <w:rPr>
          <w:rFonts w:ascii="Times New Roman" w:hAnsi="Times New Roman" w:cs="Times New Roman"/>
          <w:sz w:val="24"/>
          <w:szCs w:val="24"/>
        </w:rPr>
        <w:t>.</w:t>
      </w:r>
    </w:p>
    <w:p w:rsidR="007E36B7" w:rsidRDefault="007E36B7" w:rsidP="007B4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redaktora naczelnego są niezależne od wydawnictwa, które jest jednocześnie podmiote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finansującym czasopismo.</w:t>
      </w:r>
    </w:p>
    <w:sectPr w:rsidR="007E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FE6"/>
    <w:multiLevelType w:val="hybridMultilevel"/>
    <w:tmpl w:val="6F9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927"/>
    <w:multiLevelType w:val="hybridMultilevel"/>
    <w:tmpl w:val="2ECE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80F8F"/>
    <w:rsid w:val="000A3B21"/>
    <w:rsid w:val="001974FB"/>
    <w:rsid w:val="001A0965"/>
    <w:rsid w:val="001D0B06"/>
    <w:rsid w:val="001F7315"/>
    <w:rsid w:val="002410C2"/>
    <w:rsid w:val="00292AF9"/>
    <w:rsid w:val="00351C26"/>
    <w:rsid w:val="005D468F"/>
    <w:rsid w:val="005F48A7"/>
    <w:rsid w:val="00680F8F"/>
    <w:rsid w:val="007B4795"/>
    <w:rsid w:val="007B72AA"/>
    <w:rsid w:val="007E36B7"/>
    <w:rsid w:val="008F0CC2"/>
    <w:rsid w:val="00930C51"/>
    <w:rsid w:val="00B059FB"/>
    <w:rsid w:val="00C23C85"/>
    <w:rsid w:val="00CC62D4"/>
    <w:rsid w:val="00D15A2D"/>
    <w:rsid w:val="00D34E01"/>
    <w:rsid w:val="00E058DC"/>
    <w:rsid w:val="00E836AC"/>
    <w:rsid w:val="00E97AE1"/>
    <w:rsid w:val="00EA13E9"/>
    <w:rsid w:val="00EF72C8"/>
    <w:rsid w:val="00F15869"/>
    <w:rsid w:val="00F63DFF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FE35-61C9-48F0-A894-38C6D0E9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ny"/>
    <w:link w:val="EndNoteBibliographyTitleZnak"/>
    <w:rsid w:val="00680F8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680F8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680F8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680F8F"/>
    <w:rPr>
      <w:rFonts w:ascii="Calibri" w:hAnsi="Calibri"/>
      <w:noProof/>
      <w:lang w:val="en-US"/>
    </w:rPr>
  </w:style>
  <w:style w:type="paragraph" w:styleId="Akapitzlist">
    <w:name w:val="List Paragraph"/>
    <w:basedOn w:val="Normalny"/>
    <w:uiPriority w:val="34"/>
    <w:qFormat/>
    <w:rsid w:val="00E0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B1E2-23F6-478E-B72F-CAF96E1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Polcyn</dc:creator>
  <cp:keywords/>
  <dc:description/>
  <cp:lastModifiedBy>Jan Polcyn</cp:lastModifiedBy>
  <cp:revision>2</cp:revision>
  <dcterms:created xsi:type="dcterms:W3CDTF">2015-06-08T09:16:00Z</dcterms:created>
  <dcterms:modified xsi:type="dcterms:W3CDTF">2015-06-08T09:16:00Z</dcterms:modified>
</cp:coreProperties>
</file>